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BFA" w:rsidRDefault="00BC2BFA">
      <w:pPr>
        <w:keepNext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9342BA" w:rsidRPr="008C08F7" w:rsidRDefault="001C1F6F">
      <w:pPr>
        <w:keepNext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C08F7">
        <w:rPr>
          <w:rFonts w:cstheme="minorHAnsi"/>
          <w:b/>
          <w:bCs/>
          <w:sz w:val="24"/>
          <w:szCs w:val="24"/>
        </w:rPr>
        <w:t>Załącznik 6</w:t>
      </w:r>
      <w:r w:rsidRPr="008C08F7">
        <w:rPr>
          <w:rFonts w:cstheme="minorHAnsi"/>
          <w:b/>
          <w:bCs/>
          <w:sz w:val="24"/>
          <w:szCs w:val="24"/>
        </w:rPr>
        <w:tab/>
      </w:r>
      <w:r w:rsidRPr="008C08F7">
        <w:rPr>
          <w:rFonts w:cstheme="minorHAnsi"/>
          <w:b/>
          <w:bCs/>
          <w:sz w:val="24"/>
          <w:szCs w:val="24"/>
        </w:rPr>
        <w:tab/>
        <w:t>Wymagania na dostawę i instalację przełączników sieciowych</w:t>
      </w:r>
    </w:p>
    <w:p w:rsidR="001C1F6F" w:rsidRPr="008C08F7" w:rsidRDefault="001C1F6F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342BA" w:rsidRPr="008C08F7" w:rsidRDefault="001C1F6F">
      <w:pPr>
        <w:suppressAutoHyphens/>
        <w:spacing w:after="0" w:line="240" w:lineRule="auto"/>
        <w:jc w:val="both"/>
        <w:rPr>
          <w:rFonts w:cstheme="minorHAnsi"/>
          <w:color w:val="00000A"/>
          <w:sz w:val="20"/>
          <w:szCs w:val="20"/>
        </w:rPr>
      </w:pPr>
      <w:r w:rsidRPr="008C08F7">
        <w:rPr>
          <w:rFonts w:cstheme="minorHAnsi"/>
          <w:color w:val="00000A"/>
          <w:sz w:val="20"/>
          <w:szCs w:val="20"/>
        </w:rPr>
        <w:t xml:space="preserve">Do obowiązków Wykonawcy w ramach niniejszego zadania należy dostawa </w:t>
      </w:r>
      <w:r w:rsidR="001B3BC5" w:rsidRPr="008C08F7">
        <w:rPr>
          <w:rFonts w:cstheme="minorHAnsi"/>
          <w:b/>
          <w:color w:val="00000A"/>
          <w:sz w:val="20"/>
          <w:szCs w:val="20"/>
        </w:rPr>
        <w:t>dwudziestu</w:t>
      </w:r>
      <w:r w:rsidR="001B3BC5" w:rsidRPr="008C08F7">
        <w:rPr>
          <w:rFonts w:cstheme="minorHAnsi"/>
          <w:b/>
          <w:color w:val="00000A"/>
          <w:sz w:val="20"/>
          <w:szCs w:val="20"/>
        </w:rPr>
        <w:t xml:space="preserve"> </w:t>
      </w:r>
      <w:r w:rsidRPr="008C08F7">
        <w:rPr>
          <w:rFonts w:cstheme="minorHAnsi"/>
          <w:color w:val="00000A"/>
          <w:sz w:val="20"/>
          <w:szCs w:val="20"/>
        </w:rPr>
        <w:t>przełączników sieciowych do siedziby Zamawiającego, spełniających minimalne wymagania techniczne i funkcjonalne określone poniżej oraz ich instalacja i konfiguracja.</w:t>
      </w:r>
    </w:p>
    <w:p w:rsidR="009342BA" w:rsidRPr="008C08F7" w:rsidRDefault="009342BA">
      <w:pPr>
        <w:suppressAutoHyphens/>
        <w:spacing w:after="0" w:line="240" w:lineRule="auto"/>
        <w:jc w:val="both"/>
        <w:rPr>
          <w:rFonts w:cstheme="minorHAnsi"/>
          <w:color w:val="00000A"/>
          <w:sz w:val="20"/>
          <w:szCs w:val="20"/>
        </w:rPr>
      </w:pPr>
    </w:p>
    <w:p w:rsidR="00BC2BFA" w:rsidRDefault="00BC2BFA">
      <w:pPr>
        <w:suppressAutoHyphens/>
        <w:spacing w:after="0" w:line="240" w:lineRule="auto"/>
        <w:contextualSpacing/>
        <w:jc w:val="both"/>
        <w:rPr>
          <w:rFonts w:eastAsia="Calibri" w:cstheme="minorHAnsi"/>
          <w:b/>
          <w:color w:val="00000A"/>
          <w:sz w:val="20"/>
          <w:szCs w:val="20"/>
        </w:rPr>
      </w:pPr>
    </w:p>
    <w:p w:rsidR="009342BA" w:rsidRPr="008C08F7" w:rsidRDefault="001C1F6F">
      <w:pPr>
        <w:suppressAutoHyphens/>
        <w:spacing w:after="0" w:line="240" w:lineRule="auto"/>
        <w:contextualSpacing/>
        <w:jc w:val="both"/>
        <w:rPr>
          <w:rFonts w:eastAsia="Calibri" w:cstheme="minorHAnsi"/>
          <w:b/>
          <w:color w:val="00000A"/>
          <w:sz w:val="20"/>
          <w:szCs w:val="20"/>
        </w:rPr>
      </w:pPr>
      <w:bookmarkStart w:id="0" w:name="_GoBack"/>
      <w:bookmarkEnd w:id="0"/>
      <w:r w:rsidRPr="008C08F7">
        <w:rPr>
          <w:rFonts w:eastAsia="Calibri" w:cstheme="minorHAnsi"/>
          <w:b/>
          <w:color w:val="00000A"/>
          <w:sz w:val="20"/>
          <w:szCs w:val="20"/>
        </w:rPr>
        <w:t>Wymagane minimalne parametry techniczne:</w:t>
      </w:r>
    </w:p>
    <w:p w:rsidR="009342BA" w:rsidRPr="008C08F7" w:rsidRDefault="009342BA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:rsidR="009342BA" w:rsidRPr="008C08F7" w:rsidRDefault="001C1F6F" w:rsidP="00B756E7">
      <w:pPr>
        <w:pStyle w:val="Standard"/>
        <w:numPr>
          <w:ilvl w:val="0"/>
          <w:numId w:val="22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C08F7">
        <w:rPr>
          <w:rFonts w:asciiTheme="minorHAnsi" w:hAnsiTheme="minorHAnsi" w:cstheme="minorHAnsi"/>
          <w:b/>
          <w:bCs/>
          <w:sz w:val="20"/>
          <w:szCs w:val="20"/>
        </w:rPr>
        <w:t>Przełącznik typ A</w:t>
      </w:r>
      <w:r w:rsidR="00B756E7" w:rsidRPr="008C08F7">
        <w:rPr>
          <w:rFonts w:asciiTheme="minorHAnsi" w:hAnsiTheme="minorHAnsi" w:cstheme="minorHAnsi"/>
          <w:b/>
          <w:bCs/>
          <w:sz w:val="20"/>
          <w:szCs w:val="20"/>
        </w:rPr>
        <w:t xml:space="preserve"> –  szkieletowy </w:t>
      </w:r>
      <w:r w:rsidR="001B3BC5" w:rsidRPr="008C08F7">
        <w:rPr>
          <w:rFonts w:asciiTheme="minorHAnsi" w:hAnsiTheme="minorHAnsi" w:cstheme="minorHAnsi"/>
          <w:b/>
          <w:bCs/>
          <w:sz w:val="20"/>
          <w:szCs w:val="20"/>
        </w:rPr>
        <w:t xml:space="preserve"> - 2 sztuki</w:t>
      </w:r>
    </w:p>
    <w:p w:rsidR="00B756E7" w:rsidRPr="008C08F7" w:rsidRDefault="00B756E7" w:rsidP="00B756E7">
      <w:pPr>
        <w:pStyle w:val="Standard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"/>
        <w:gridCol w:w="9121"/>
      </w:tblGrid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Nazwa parametru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3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Typ i liczba portów:</w:t>
            </w:r>
          </w:p>
          <w:p w:rsidR="008C08F7" w:rsidRPr="008C08F7" w:rsidRDefault="008C08F7" w:rsidP="008C08F7">
            <w:pPr>
              <w:pStyle w:val="Standard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Minimum 24 porty 10 Gigabitowe w standardzie SFP+,</w:t>
            </w:r>
          </w:p>
          <w:p w:rsidR="008C08F7" w:rsidRPr="008C08F7" w:rsidRDefault="008C08F7" w:rsidP="008C08F7">
            <w:pPr>
              <w:pStyle w:val="Standard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Minimum 4 porty 10BASE-T/100BASE-TX/1000BASE-T,</w:t>
            </w:r>
          </w:p>
          <w:p w:rsidR="008C08F7" w:rsidRPr="008C08F7" w:rsidRDefault="008C08F7" w:rsidP="008C08F7">
            <w:pPr>
              <w:pStyle w:val="Standard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Port USB.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3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Przepustowość minimum 488Gb/s,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3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Wydajność: minimum 363Mp/s.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3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Przełączanie w warstwie 2 i 3 modelu OSI.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3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Dwa wbudowane (wewnętrzne, modularne) zasilacze dla zapewnienia redundancji zasilania, wymieniane podczas pracy urządzenia.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3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Wymienne (moduł) wentylatory, wymieniane podczas pracy urządzenia.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3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Opóźnienie nie może być wyższe niż 2.2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us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dla pakietu 64 bajty w trybach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Cut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Through oraz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Store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Forward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3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Tablica adresów MAC o wielkości min. 32000 pozycji.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3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Wielkość tablicy routingu: minimum 12000 wpisów.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3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Wielkość bufora pakietów (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packet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buffer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): minimum 2MB.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3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Minimum 512MB pamięci typu Flash.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3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Minimum 2GB pamięci operacyjnej.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3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Obsługa ramek Jumbo.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3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Obsługa wykrywania pętli topologicznych.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3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Routing IPv4 – statyczny i dynamiczny (min. RIP v1 i v2, OSFP, BGP).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3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Routing IPv6 – statyczny i dynamiczny (min.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RIPng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, OSFPv3, BGP+,IS-ISv6).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3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Możliwość  wyboru sposobu obsługi kolejek:</w:t>
            </w:r>
          </w:p>
          <w:p w:rsidR="008C08F7" w:rsidRPr="008C08F7" w:rsidRDefault="008C08F7" w:rsidP="008C08F7">
            <w:pPr>
              <w:pStyle w:val="Standard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Strict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Priority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8C08F7" w:rsidRPr="008C08F7" w:rsidRDefault="008C08F7" w:rsidP="008C08F7">
            <w:pPr>
              <w:pStyle w:val="Standard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Weighted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Round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Robin,</w:t>
            </w:r>
          </w:p>
          <w:p w:rsidR="008C08F7" w:rsidRPr="008C08F7" w:rsidRDefault="008C08F7" w:rsidP="008C08F7">
            <w:pPr>
              <w:pStyle w:val="Standard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Weighted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Fair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Queuing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WFQ,</w:t>
            </w:r>
          </w:p>
          <w:p w:rsidR="008C08F7" w:rsidRPr="008C08F7" w:rsidRDefault="008C08F7" w:rsidP="008C08F7">
            <w:pPr>
              <w:pStyle w:val="Standard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WRR + SP.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3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Funkcja łączenia w stos grupy przełączników, urządzenia połączone w stos widziane jako jedno logiczne urządzenie. Wymagana jest możliwość rozbudowy przełącznika o nie mniej niż 500 portów 1GbE, nie mniej niż 176 portów 10GbE oraz ich kombinacje. Topologia stosu musi zapewniać redundancję (połączenia typu pierścień lub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mesh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, nie dopuszcza się topologii typu łańcuch (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daisy-chain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)). Przełączniki muszą łączyć się we wspólne stosy z posiadanymi przez Zamawiającego przełącznikami HPE 5820X.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3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Łącznie w stos z wykorzystaniem portów 10Gb i agregowanych portów 10Gb (w celu zwiększenia przepustowości w stosie).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3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Możliwość przypisania pakietów do  Voice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VLAN’u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z wykorzystaniem mapowania zakresów MAC.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3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Obsługa IEEE 802.1s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Multiple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SpanningTree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/ MSTP oraz IEEE 802.1w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Rapid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Spanning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Tree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Protocol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3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Obsługa sieci IEEE 802.1Q VLAN – 4094 sieci VLAN oraz IEEE 802.1ad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QinQ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3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Możliwość automatycznej separacji ruchu VoIP w wydzielonym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VLANie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(Voice VLAN).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3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Obsługa IGMP v1/v2/v3 oraz IGMP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Snooping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3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Funkcja Root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Guard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umożliwiająca ochronę sieci przed wprowadzeniem do sieci urządzenia, które może przejąć rolę przełącznika Root dla protokołu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Spanning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Tree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3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Obsługa Policy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Based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Routing.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3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Obsługa PIM-SSM, PIM-DM i PIM-SM (dla IPv4 i IPv6).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3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Obsługa Multicast VLAN.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3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Obsługa Multicast Source Discovery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Protocol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(MSDP).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3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Obsługa ECMP (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Equal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Cost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Multi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Path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3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Obsługa Virtual Router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Redundancy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Protocol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(VRRP).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3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Obsługa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Bidirectional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Forwarding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Detection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(BFD).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3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DHCP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Snooping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3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Obsługa list ACL na bazie informacji z warstw 2/3/4 modelu OSI.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3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Listy ACL muszą być obsługiwane sprzętowo, bez pogarszania wydajności urządzenia.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3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Obsługa standardu 802.1p. Wparcie dla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Remarking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802.1p.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3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Możliwość zmiany wartości pola DSCP i/lub wartości priorytetu 802.1p.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3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RADIUS Accounting.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3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Możliwość centralnego uwierzytelniania administratorów na serwerze RADIUS.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3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Zarządzanie poprzez port konsoli, SNMP v.1, 2c i 3, Telnet, SSH v.2, http i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https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3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Syslog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3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sFlow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i IPFIX.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3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RMON.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3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Obsługa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uRPF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3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Obsługa OAM (802.3ah) i CFD (802.1ag).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3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IEEE 802.1AB Link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Layer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Discovery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Protocol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(LLDP) oraz LLDP-MED.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3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Network Time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Protocol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(NTP) v3.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3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Przechowywanie wielu wersji oprogramowania na przełączniku.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3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Przechowywanie wielu plików konfiguracyjnych na przełączniku, możliwość przegrywania pliku konfiguracyjnego w postaci tekstowej do i z stacji roboczej.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3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Minimalny zakres temperatur pracy od 0°C do 45°C.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3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Wysokość w szafie 19” – 1U. Głębokość nie większa niż 43cm.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31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Maksymalny pobór mocy nie większy niż 300W.</w:t>
            </w:r>
          </w:p>
        </w:tc>
      </w:tr>
    </w:tbl>
    <w:p w:rsidR="009342BA" w:rsidRPr="008C08F7" w:rsidRDefault="009342BA">
      <w:pPr>
        <w:pStyle w:val="Standard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9342BA" w:rsidRPr="008C08F7" w:rsidRDefault="001C1F6F">
      <w:pPr>
        <w:rPr>
          <w:rFonts w:eastAsia="SimSun" w:cstheme="minorHAnsi"/>
          <w:b/>
          <w:bCs/>
          <w:kern w:val="2"/>
          <w:sz w:val="20"/>
          <w:szCs w:val="20"/>
          <w:lang w:eastAsia="zh-CN" w:bidi="hi-IN"/>
        </w:rPr>
      </w:pPr>
      <w:r w:rsidRPr="008C08F7">
        <w:rPr>
          <w:rFonts w:cstheme="minorHAnsi"/>
          <w:sz w:val="20"/>
          <w:szCs w:val="20"/>
        </w:rPr>
        <w:br w:type="page"/>
      </w:r>
    </w:p>
    <w:p w:rsidR="00B756E7" w:rsidRPr="008C08F7" w:rsidRDefault="001C1F6F" w:rsidP="00B756E7">
      <w:pPr>
        <w:pStyle w:val="Standard"/>
        <w:numPr>
          <w:ilvl w:val="0"/>
          <w:numId w:val="22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C08F7">
        <w:rPr>
          <w:rFonts w:asciiTheme="minorHAnsi" w:hAnsiTheme="minorHAnsi" w:cstheme="minorHAnsi"/>
          <w:b/>
          <w:bCs/>
          <w:sz w:val="20"/>
          <w:szCs w:val="20"/>
        </w:rPr>
        <w:lastRenderedPageBreak/>
        <w:t>Przełączn</w:t>
      </w:r>
      <w:r w:rsidR="00B756E7" w:rsidRPr="008C08F7">
        <w:rPr>
          <w:rFonts w:asciiTheme="minorHAnsi" w:hAnsiTheme="minorHAnsi" w:cstheme="minorHAnsi"/>
          <w:b/>
          <w:bCs/>
          <w:sz w:val="20"/>
          <w:szCs w:val="20"/>
        </w:rPr>
        <w:t xml:space="preserve">ik typ B – dystrybucyjny </w:t>
      </w:r>
      <w:r w:rsidRPr="008C08F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756E7" w:rsidRPr="008C08F7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8C08F7">
        <w:rPr>
          <w:rFonts w:asciiTheme="minorHAnsi" w:hAnsiTheme="minorHAnsi" w:cstheme="minorHAnsi"/>
          <w:b/>
          <w:bCs/>
          <w:sz w:val="20"/>
          <w:szCs w:val="20"/>
        </w:rPr>
        <w:t xml:space="preserve"> szt</w:t>
      </w:r>
      <w:r w:rsidR="00B756E7" w:rsidRPr="008C08F7">
        <w:rPr>
          <w:rFonts w:asciiTheme="minorHAnsi" w:hAnsiTheme="minorHAnsi" w:cstheme="minorHAnsi"/>
          <w:b/>
          <w:bCs/>
          <w:sz w:val="20"/>
          <w:szCs w:val="20"/>
        </w:rPr>
        <w:t>uki</w:t>
      </w:r>
    </w:p>
    <w:p w:rsidR="008C08F7" w:rsidRPr="008C08F7" w:rsidRDefault="008C08F7" w:rsidP="008C08F7">
      <w:pPr>
        <w:pStyle w:val="Standard"/>
        <w:ind w:left="107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"/>
        <w:gridCol w:w="8980"/>
      </w:tblGrid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Nazwa parametru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3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Typ i liczba portów:</w:t>
            </w:r>
          </w:p>
          <w:p w:rsidR="008C08F7" w:rsidRPr="008C08F7" w:rsidRDefault="008C08F7" w:rsidP="008C08F7">
            <w:pPr>
              <w:pStyle w:val="Standard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Minimum 24 porty gigabitowych w standardzie 100/1000BaseT,</w:t>
            </w:r>
          </w:p>
          <w:p w:rsidR="008C08F7" w:rsidRPr="008C08F7" w:rsidRDefault="008C08F7" w:rsidP="008C08F7">
            <w:pPr>
              <w:pStyle w:val="Standard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Minimum 4 porty 10Gb SFP+, pozwalające na instalację wkładek 10Gb (SFP+) i Gigabitowych (SFP).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3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Przepustowość:  minimum 128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Gb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/s.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3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Wydajność: minimum 95,2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/s.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3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Tablica adresów MAC o wielkości minimum 32000 pozycji.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3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Obsługa ramek Jumbo.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3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Routing IPv4 – minimum: statyczny, RIPv2, OSPF (dopuszcza się wsparcie dla OSPF ograniczone do jednego obszaru i co najmniej 8 interfejsów).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3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Routing IPv6 – minimum: statyczny,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RIPng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, OSPFv3 (dopuszcza się wsparcie dla OSPF ograniczone do jednego obszaru i co najmniej 8 interfejsów).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3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Wielkość sprzętowej tablicy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rutingu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8C08F7" w:rsidRPr="008C08F7" w:rsidRDefault="008C08F7" w:rsidP="008C08F7">
            <w:pPr>
              <w:pStyle w:val="Standard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minimum 2000 wpisów dla IPv4,</w:t>
            </w:r>
          </w:p>
          <w:p w:rsidR="008C08F7" w:rsidRPr="008C08F7" w:rsidRDefault="008C08F7" w:rsidP="008C08F7">
            <w:pPr>
              <w:pStyle w:val="Standard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minimum 1000 wpisów dla IPv6.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3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Obsługa ruchu Multicast:</w:t>
            </w:r>
          </w:p>
          <w:p w:rsidR="008C08F7" w:rsidRPr="008C08F7" w:rsidRDefault="008C08F7" w:rsidP="008C08F7">
            <w:pPr>
              <w:pStyle w:val="Standard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IGMP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Snooping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8C08F7" w:rsidRPr="008C08F7" w:rsidRDefault="008C08F7" w:rsidP="008C08F7">
            <w:pPr>
              <w:pStyle w:val="Standard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MLD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Snooping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3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Obsługa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VxLAN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3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Obsługa IEEE 802.1s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Multiple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SpanningTree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/ MSTP oraz IEEE 802.1w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Rapid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Spanning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Tree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Protocol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3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Obsługa 4094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tagów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IEEE 802.1Q oraz minimum 2000 jednoczesnych sieci VLAN.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3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Funkcja Root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Guard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oraz BPDU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protection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3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Przełączniki tego samego typu muszą posiadać funkcję łączenia w stos (wirtualny przełącznik) złożony z minimum 8 urządzeń. Zarządzanie stosem musi odbywać się z  jednego adresu IP. Z punktu widzenia zarządzania przełączniki muszą tworzyć jedno logiczne urządzenie (nie dopuszcza się rozwiązań typu klaster).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3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Realizacja łączy agregowanych (LACP) w ramach różnych przełączników będących w stosie.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3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Wsparcie dla funkcji DHCP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server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, DHCP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Relay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oraz DHCP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Snooping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3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Obsługa list ACL na bazie informacji z warstw 2/3/4 modelu OSI.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3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Obsługa standardu 802.1p – min. 8 kolejek na porcie.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3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Funkcja mirroringu portów 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3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Obsługa IEEE 802.1AB Link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Layer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Discovery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Protocol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(LLDP) i LLDP Media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Endpoint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Discovery (LLDP-MED).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3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Funkcja autoryzacji użytkowników zgodna z 802.1x.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3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Funkcja autoryzacji logowania do urządzenia za pomocą serwerów RADIUS albo TACACS+RADIUS Accounting.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3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Wsparcie dla protokołu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OpenFlow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w wersji 1.0 oraz 1.3.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3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OpenFlow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musi posiadać możliwość konfiguracji przetwarzania pakietów przez przełącznik w oparciu o ciąg tablic.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3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Musi być możliwe wielotablicowe przetwarzanie zapytań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OpenFlow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zawierająca następujące tablice do przetwarzania reguł sprzętowo w oparciu o: źródłowe i docelowe adresy MAC, źródłowy i docelowy adres IP oraz nr portu, numer portu wejściowego (pole IP DSCP oraz VLAN PCP).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3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Musi być możliwe przypisywanie więcej niż jednej akcji zadanemu wpisowi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OpenFlow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3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Musi być możliwe tworzenie logicznych tuneli poprzez komunikaty SNMP i możliwość ich wykorzystania w kierowaniu ruchem w sposób sterowany za pomocą protokołu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OpenFlow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3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Wsparcie dla Energy-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efficient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Ethernet (EEE) IEEE 802.3az.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3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Zarządzanie poprzez port konsoli (pełne), SNMP v.1, 2c i 3, Telnet, SSH v.2, http i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https</w:t>
            </w:r>
            <w:proofErr w:type="spellEnd"/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3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Obsługa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Syslog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3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Obsługa SNTPv4.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3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Musi być możliwość przechowywania co najmniej dwóch wersji oprogramowania na przełączniku.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3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Musi być możliwość przechowywania co najmniej trzech plików konfiguracyjnych na przełączniku, możliwość wgrywania i zgrywania pliku konfiguracyjnego w postaci tekstowej do stacji roboczej.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3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Wsparcie dla funkcji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Private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VLAN lub równoważnego.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3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Obsługa mechanizmu wykrywania łączy jednokierunkowych typu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Uni-Directional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Link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Detection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(UDLD) lub Device Link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Detection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Protocol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(DLDP) lub równoważnego.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3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Minimalny zakres pracy od 0°C do 45°C.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3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Wysokość w szafie 19” – 1U, głębokość nie większa niż 32 cm.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3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Wewnętrzny zasilacz 230V.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3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Maksymalny pobór mocy nie większy niż 50W.</w:t>
            </w:r>
          </w:p>
        </w:tc>
      </w:tr>
    </w:tbl>
    <w:p w:rsidR="009342BA" w:rsidRPr="008C08F7" w:rsidRDefault="009342BA">
      <w:pPr>
        <w:rPr>
          <w:rFonts w:cstheme="minorHAnsi"/>
          <w:sz w:val="20"/>
          <w:szCs w:val="20"/>
        </w:rPr>
      </w:pPr>
    </w:p>
    <w:p w:rsidR="00B756E7" w:rsidRPr="008C08F7" w:rsidRDefault="00B756E7">
      <w:pPr>
        <w:spacing w:after="0" w:line="240" w:lineRule="auto"/>
        <w:rPr>
          <w:rFonts w:eastAsia="SimSun" w:cstheme="minorHAnsi"/>
          <w:b/>
          <w:bCs/>
          <w:kern w:val="2"/>
          <w:sz w:val="20"/>
          <w:szCs w:val="20"/>
          <w:lang w:eastAsia="zh-CN" w:bidi="hi-IN"/>
        </w:rPr>
      </w:pPr>
      <w:r w:rsidRPr="008C08F7">
        <w:rPr>
          <w:rFonts w:cstheme="minorHAnsi"/>
          <w:b/>
          <w:bCs/>
          <w:sz w:val="20"/>
          <w:szCs w:val="20"/>
        </w:rPr>
        <w:br w:type="page"/>
      </w:r>
    </w:p>
    <w:p w:rsidR="009342BA" w:rsidRPr="008C08F7" w:rsidRDefault="00B756E7" w:rsidP="00B756E7">
      <w:pPr>
        <w:pStyle w:val="Standard"/>
        <w:numPr>
          <w:ilvl w:val="0"/>
          <w:numId w:val="22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C08F7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Przełącznik typ C – </w:t>
      </w:r>
      <w:r w:rsidR="001C1F6F" w:rsidRPr="008C08F7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Pr="008C08F7">
        <w:rPr>
          <w:rFonts w:asciiTheme="minorHAnsi" w:hAnsiTheme="minorHAnsi" w:cstheme="minorHAnsi"/>
          <w:b/>
          <w:bCs/>
          <w:sz w:val="20"/>
          <w:szCs w:val="20"/>
        </w:rPr>
        <w:t>ostępowy  - 16 sztuk</w:t>
      </w:r>
    </w:p>
    <w:p w:rsidR="008C08F7" w:rsidRPr="008C08F7" w:rsidRDefault="008C08F7" w:rsidP="008C08F7">
      <w:pPr>
        <w:pStyle w:val="Standard"/>
        <w:ind w:left="107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"/>
        <w:gridCol w:w="9127"/>
      </w:tblGrid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Nazwa parametru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7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Typ i liczba portów:</w:t>
            </w:r>
          </w:p>
          <w:p w:rsidR="008C08F7" w:rsidRPr="008C08F7" w:rsidRDefault="008C08F7" w:rsidP="008C08F7">
            <w:pPr>
              <w:pStyle w:val="Standard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Minimum 48 portów gigabitowych w standardzie 100/1000BaseT,</w:t>
            </w:r>
          </w:p>
          <w:p w:rsidR="008C08F7" w:rsidRPr="008C08F7" w:rsidRDefault="008C08F7" w:rsidP="008C08F7">
            <w:pPr>
              <w:pStyle w:val="Standard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Min 4 porty 10Gb SFP+, pozwalające na instalację wkładek 10Gb (SFP+) i Gigabitowych (SFP).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7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Przepustowość:  minimum 176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Gb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/s.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7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Wydajność: minimum 112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/s.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7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Tablica adresów MAC o wielkości minimum 32000 pozycji.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7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Obsługa ramek Jumbo.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7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Routing IPv4 – minimum: statyczny, RIPv2, OSPF (dopuszcza się wsparcie dla OSPF ograniczone do jednego obszaru i co najmniej 8 interfejsów).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7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Routing IPv6 – minimum: statyczny,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RIPng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, OSPFv3 (dopuszcza się wsparcie dla OSPF ograniczone do jednego obszaru i co najmniej 8 interfejsów).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7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Wielkość sprzętowej tablicy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rutingu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8C08F7" w:rsidRPr="008C08F7" w:rsidRDefault="008C08F7" w:rsidP="008C08F7">
            <w:pPr>
              <w:pStyle w:val="Standard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minimum 2000 wpisów dla IPv4,</w:t>
            </w:r>
          </w:p>
          <w:p w:rsidR="008C08F7" w:rsidRPr="008C08F7" w:rsidRDefault="008C08F7" w:rsidP="008C08F7">
            <w:pPr>
              <w:pStyle w:val="Standard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minimum 1000 wpisów dla IPv6.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7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Obsługa ruchu Multicast:</w:t>
            </w:r>
          </w:p>
          <w:p w:rsidR="008C08F7" w:rsidRPr="008C08F7" w:rsidRDefault="008C08F7" w:rsidP="008C08F7">
            <w:pPr>
              <w:pStyle w:val="Standard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IGMP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Snooping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8C08F7" w:rsidRPr="008C08F7" w:rsidRDefault="008C08F7" w:rsidP="008C08F7">
            <w:pPr>
              <w:pStyle w:val="Standard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MLD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Snooping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7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Obsługa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vxlan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7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Obsługa IEEE 802.1s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Multiple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SpanningTree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/ MSTP oraz IEEE 802.1w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Rapid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Spanning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Tree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Protocol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7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Obsługa 4094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tagów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IEEE 802.1Q oraz minimum 2000 jednoczesnych sieci VLAN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7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Funkcja Root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Guard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oraz BPDU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protection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7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Przełączniki tego samego typu muszą posiadać funkcję łączenia w stos (wirtualny przełącznik) złożony z minimum 8 urządzeń. Zarządzanie stosem musi odbywać się z  jednego adresu IP. Z punktu widzenia zarządzania przełączniki muszą tworzyć jedno logiczne urządzenie (nie dopuszcza się rozwiązań typu klaster).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7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Realizacja łączy agregowanych (LACP) w ramach różnych przełączników będących w stosie.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7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Wsparcie dla funkcji DHCP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server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, DHCP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Relay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oraz DHCP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Snooping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7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Obsługa list ACL na bazie informacji z warstw 2/3/4 modelu OSI.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7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Obsługa standardu 802.1p – min. 8 kolejek na porcie.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7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Funkcja mirroringu portów.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7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Obsługa IEEE 802.1AB Link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Layer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Discovery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Protocol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(LLDP) i LLDP Media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Endpoint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Discovery (LLDP-MED).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7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Funkcja autoryzacji użytkowników zgodna z 802.1x.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7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Funkcja autoryzacji logowania do urządzenia za pomocą serwerów RADIUS albo TACACS+ RADIUS Accounting.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7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Wsparcie dla protokołu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OpenFlow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w wersji 1.0 oraz 1.3.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7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OpenFlow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musi posiadać możliwość konfiguracji przetwarzania pakietów przez przełącznik w oparciu o ciąg tablic.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7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Musi być możliwe wielotablicowe przetwarzanie zapytań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OpenFlow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zawierająca następujące tablice do przetwarzania reguł sprzętowo w oparciu o: źródłowe i docelowe adresy MAC, źródłowy i docelowy adres IP oraz nr portu, numer portu wejściowego (pole IP DSCP oraz VLAN PCP).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7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Musi być możliwe przypisywanie więcej niż jednej akcji zadanemu wpisowi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OpenFlow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7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Musi być możliwe tworzenie logicznych tuneli poprzez komunikaty SNMP i możliwość ich wykorzystania w kierowaniu ruchem w sposób sterowany za pomocą protokołu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OpenFlow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7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Wsparcie dla Energy-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efficient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Ethernet (EEE) IEEE 802.3az.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7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Zarządzanie poprzez port konsoli (pełne), SNMP v.1, 2c i 3, Telnet, SSH v.2, http i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https</w:t>
            </w:r>
            <w:proofErr w:type="spellEnd"/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7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Obsługa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Syslog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7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Obsługa SNTPv4.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7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Musi być możliwość przechowywania co najmniej dwóch wersji oprogramowania na przełączniku.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7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Musi być możliwość przechowywania co najmniej trzech plików konfiguracyjnych na przełączniku, możliwość wgrywania i zgrywania pliku konfiguracyjnego w postaci tekstowej do stacji roboczej.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7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Wsparcie dla funkcji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Private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VLAN lub równoważnego.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7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Obsługa mechanizmu wykrywania łączy jednokierunkowych typu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Uni-Directional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Link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Detection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(UDLD) lub Device Link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Detection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Protocol</w:t>
            </w:r>
            <w:proofErr w:type="spellEnd"/>
            <w:r w:rsidRPr="008C08F7">
              <w:rPr>
                <w:rFonts w:asciiTheme="minorHAnsi" w:hAnsiTheme="minorHAnsi" w:cstheme="minorHAnsi"/>
                <w:sz w:val="20"/>
                <w:szCs w:val="20"/>
              </w:rPr>
              <w:t xml:space="preserve"> (DLDP) lub równoważnego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7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Minimalny zakres pracy od 0°C do 45°C.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7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Wysokość w szafie 19” – 1U, głębokość nie większa niż 32 cm.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7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Wewnętrzny zasilacz 230V.</w:t>
            </w:r>
          </w:p>
        </w:tc>
      </w:tr>
      <w:tr w:rsidR="008C08F7" w:rsidRPr="008C08F7" w:rsidTr="008C08F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8C08F7">
            <w:pPr>
              <w:pStyle w:val="Standard"/>
              <w:numPr>
                <w:ilvl w:val="0"/>
                <w:numId w:val="27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8F7" w:rsidRPr="008C08F7" w:rsidRDefault="008C08F7" w:rsidP="003D299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8F7">
              <w:rPr>
                <w:rFonts w:asciiTheme="minorHAnsi" w:hAnsiTheme="minorHAnsi" w:cstheme="minorHAnsi"/>
                <w:sz w:val="20"/>
                <w:szCs w:val="20"/>
              </w:rPr>
              <w:t>Maksymalny pobór mocy nie większy niż 50W.</w:t>
            </w:r>
          </w:p>
        </w:tc>
      </w:tr>
    </w:tbl>
    <w:p w:rsidR="008C08F7" w:rsidRDefault="008C08F7" w:rsidP="00B756E7">
      <w:pPr>
        <w:rPr>
          <w:rFonts w:eastAsia="SimSun" w:cstheme="minorHAnsi"/>
          <w:bCs/>
          <w:kern w:val="2"/>
          <w:sz w:val="20"/>
          <w:szCs w:val="20"/>
          <w:lang w:eastAsia="zh-CN" w:bidi="hi-IN"/>
        </w:rPr>
      </w:pPr>
    </w:p>
    <w:p w:rsidR="00BC2BFA" w:rsidRPr="00BC2BFA" w:rsidRDefault="00BC2BFA" w:rsidP="00BC2BFA">
      <w:pPr>
        <w:pStyle w:val="Standard"/>
        <w:numPr>
          <w:ilvl w:val="0"/>
          <w:numId w:val="22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C2BFA">
        <w:rPr>
          <w:rFonts w:asciiTheme="minorHAnsi" w:hAnsiTheme="minorHAnsi" w:cstheme="minorHAnsi"/>
          <w:b/>
          <w:bCs/>
          <w:sz w:val="20"/>
          <w:szCs w:val="20"/>
        </w:rPr>
        <w:t>Wymagania w zakresie instalacji i konfiguracji</w:t>
      </w:r>
    </w:p>
    <w:p w:rsidR="00BC2BFA" w:rsidRPr="00BC2BFA" w:rsidRDefault="00BC2BFA" w:rsidP="00BC2BFA">
      <w:pPr>
        <w:pStyle w:val="ListParagraph"/>
        <w:numPr>
          <w:ilvl w:val="0"/>
          <w:numId w:val="34"/>
        </w:numPr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t xml:space="preserve">Przełączniki </w:t>
      </w:r>
      <w:r w:rsidRPr="00BC2BFA">
        <w:rPr>
          <w:rFonts w:asciiTheme="minorHAnsi" w:hAnsiTheme="minorHAnsi" w:cstheme="minorHAnsi"/>
          <w:color w:val="00000A"/>
          <w:sz w:val="20"/>
          <w:szCs w:val="20"/>
        </w:rPr>
        <w:t xml:space="preserve"> muszą zostać zainstalowane i  skonfigurowane w następujący sposób:</w:t>
      </w:r>
    </w:p>
    <w:p w:rsidR="00BC2BFA" w:rsidRPr="00BC2BFA" w:rsidRDefault="00BC2BFA" w:rsidP="00BC2BFA">
      <w:pPr>
        <w:pStyle w:val="ListParagraph"/>
        <w:numPr>
          <w:ilvl w:val="1"/>
          <w:numId w:val="34"/>
        </w:numPr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t>Montaż przełączników</w:t>
      </w:r>
      <w:r w:rsidRPr="00BC2BFA">
        <w:rPr>
          <w:rFonts w:asciiTheme="minorHAnsi" w:hAnsiTheme="minorHAnsi" w:cstheme="minorHAnsi"/>
          <w:color w:val="00000A"/>
          <w:sz w:val="20"/>
          <w:szCs w:val="20"/>
        </w:rPr>
        <w:t xml:space="preserve"> w szafie </w:t>
      </w:r>
      <w:proofErr w:type="spellStart"/>
      <w:r w:rsidRPr="00BC2BFA">
        <w:rPr>
          <w:rFonts w:asciiTheme="minorHAnsi" w:hAnsiTheme="minorHAnsi" w:cstheme="minorHAnsi"/>
          <w:color w:val="00000A"/>
          <w:sz w:val="20"/>
          <w:szCs w:val="20"/>
        </w:rPr>
        <w:t>rack</w:t>
      </w:r>
      <w:proofErr w:type="spellEnd"/>
      <w:r w:rsidRPr="00BC2BFA">
        <w:rPr>
          <w:rFonts w:asciiTheme="minorHAnsi" w:hAnsiTheme="minorHAnsi" w:cstheme="minorHAnsi"/>
          <w:color w:val="00000A"/>
          <w:sz w:val="20"/>
          <w:szCs w:val="20"/>
        </w:rPr>
        <w:t xml:space="preserve"> w pomieszczeniu udostępnionym przez Zamawiającego.</w:t>
      </w:r>
    </w:p>
    <w:p w:rsidR="00BC2BFA" w:rsidRPr="00BC2BFA" w:rsidRDefault="00BC2BFA" w:rsidP="00BC2BFA">
      <w:pPr>
        <w:pStyle w:val="ListParagraph"/>
        <w:numPr>
          <w:ilvl w:val="1"/>
          <w:numId w:val="34"/>
        </w:numPr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BC2BFA">
        <w:rPr>
          <w:rFonts w:asciiTheme="minorHAnsi" w:hAnsiTheme="minorHAnsi" w:cstheme="minorHAnsi"/>
          <w:color w:val="00000A"/>
          <w:sz w:val="20"/>
          <w:szCs w:val="20"/>
        </w:rPr>
        <w:t>Podłączenie przełączników i zasilaczy redundantnych przełączników do listew zasilających PDU.</w:t>
      </w:r>
    </w:p>
    <w:p w:rsidR="00BC2BFA" w:rsidRPr="00BC2BFA" w:rsidRDefault="00BC2BFA" w:rsidP="00BC2BFA">
      <w:pPr>
        <w:pStyle w:val="ListParagraph"/>
        <w:numPr>
          <w:ilvl w:val="0"/>
          <w:numId w:val="34"/>
        </w:numPr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BC2BFA">
        <w:rPr>
          <w:rFonts w:asciiTheme="minorHAnsi" w:hAnsiTheme="minorHAnsi" w:cstheme="minorHAnsi"/>
          <w:color w:val="00000A"/>
          <w:sz w:val="20"/>
          <w:szCs w:val="20"/>
        </w:rPr>
        <w:t>Konfiguracja dostarczonyc</w:t>
      </w:r>
      <w:r>
        <w:rPr>
          <w:rFonts w:asciiTheme="minorHAnsi" w:hAnsiTheme="minorHAnsi" w:cstheme="minorHAnsi"/>
          <w:color w:val="00000A"/>
          <w:sz w:val="20"/>
          <w:szCs w:val="20"/>
        </w:rPr>
        <w:t>h przełączników</w:t>
      </w:r>
      <w:r w:rsidRPr="00BC2BFA">
        <w:rPr>
          <w:rFonts w:asciiTheme="minorHAnsi" w:hAnsiTheme="minorHAnsi" w:cstheme="minorHAnsi"/>
          <w:color w:val="00000A"/>
          <w:sz w:val="20"/>
          <w:szCs w:val="20"/>
        </w:rPr>
        <w:t>, uruchomienie sieci przy wykorzystaniu dostarczanych urządzeń, w tym konfiguracja:</w:t>
      </w:r>
    </w:p>
    <w:p w:rsidR="00BC2BFA" w:rsidRPr="00BC2BFA" w:rsidRDefault="00BC2BFA" w:rsidP="00BC2BFA">
      <w:pPr>
        <w:pStyle w:val="ListParagraph"/>
        <w:numPr>
          <w:ilvl w:val="1"/>
          <w:numId w:val="34"/>
        </w:numPr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BC2BFA">
        <w:rPr>
          <w:rFonts w:asciiTheme="minorHAnsi" w:hAnsiTheme="minorHAnsi" w:cstheme="minorHAnsi"/>
          <w:color w:val="00000A"/>
          <w:sz w:val="20"/>
          <w:szCs w:val="20"/>
        </w:rPr>
        <w:t xml:space="preserve"> agregacji portów</w:t>
      </w:r>
    </w:p>
    <w:p w:rsidR="00BC2BFA" w:rsidRPr="00BC2BFA" w:rsidRDefault="00BC2BFA" w:rsidP="00BC2BFA">
      <w:pPr>
        <w:pStyle w:val="ListParagraph"/>
        <w:numPr>
          <w:ilvl w:val="1"/>
          <w:numId w:val="34"/>
        </w:numPr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BC2BFA">
        <w:rPr>
          <w:rFonts w:asciiTheme="minorHAnsi" w:hAnsiTheme="minorHAnsi" w:cstheme="minorHAnsi"/>
          <w:color w:val="00000A"/>
          <w:sz w:val="20"/>
          <w:szCs w:val="20"/>
        </w:rPr>
        <w:t xml:space="preserve">konfiguracja i wydzielenie sieci VLAN zgodnie z wymogami Zamawiającego. </w:t>
      </w:r>
    </w:p>
    <w:p w:rsidR="00BC2BFA" w:rsidRPr="00BC2BFA" w:rsidRDefault="00BC2BFA" w:rsidP="00BC2BFA">
      <w:pPr>
        <w:pStyle w:val="ListParagraph"/>
        <w:numPr>
          <w:ilvl w:val="0"/>
          <w:numId w:val="34"/>
        </w:numPr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BC2BFA">
        <w:rPr>
          <w:rFonts w:asciiTheme="minorHAnsi" w:hAnsiTheme="minorHAnsi" w:cstheme="minorHAnsi"/>
          <w:color w:val="00000A"/>
          <w:sz w:val="20"/>
          <w:szCs w:val="20"/>
        </w:rPr>
        <w:t>Konfiguracja portów TRUNK umożliwiających komunikację z istniejącą siecią LAN.</w:t>
      </w:r>
    </w:p>
    <w:p w:rsidR="00BC2BFA" w:rsidRPr="00BC2BFA" w:rsidRDefault="00BC2BFA" w:rsidP="00BC2BFA">
      <w:pPr>
        <w:jc w:val="both"/>
        <w:rPr>
          <w:rFonts w:cstheme="minorHAnsi"/>
          <w:color w:val="00000A"/>
          <w:sz w:val="20"/>
          <w:szCs w:val="20"/>
        </w:rPr>
      </w:pPr>
    </w:p>
    <w:p w:rsidR="00BC2BFA" w:rsidRPr="008C08F7" w:rsidRDefault="00BC2BFA" w:rsidP="00B756E7">
      <w:pPr>
        <w:rPr>
          <w:rFonts w:eastAsia="SimSun" w:cstheme="minorHAnsi"/>
          <w:bCs/>
          <w:kern w:val="2"/>
          <w:sz w:val="20"/>
          <w:szCs w:val="20"/>
          <w:lang w:eastAsia="zh-CN" w:bidi="hi-IN"/>
        </w:rPr>
      </w:pPr>
    </w:p>
    <w:sectPr w:rsidR="00BC2BFA" w:rsidRPr="008C08F7" w:rsidSect="00B756E7">
      <w:headerReference w:type="default" r:id="rId7"/>
      <w:pgSz w:w="11906" w:h="16838"/>
      <w:pgMar w:top="1843" w:right="991" w:bottom="568" w:left="1276" w:header="142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F22" w:rsidRDefault="00D92F22">
      <w:pPr>
        <w:spacing w:after="0" w:line="240" w:lineRule="auto"/>
      </w:pPr>
      <w:r>
        <w:separator/>
      </w:r>
    </w:p>
  </w:endnote>
  <w:endnote w:type="continuationSeparator" w:id="0">
    <w:p w:rsidR="00D92F22" w:rsidRDefault="00D9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F22" w:rsidRDefault="00D92F22">
      <w:pPr>
        <w:spacing w:after="0" w:line="240" w:lineRule="auto"/>
      </w:pPr>
      <w:r>
        <w:separator/>
      </w:r>
    </w:p>
  </w:footnote>
  <w:footnote w:type="continuationSeparator" w:id="0">
    <w:p w:rsidR="00D92F22" w:rsidRDefault="00D92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6F" w:rsidRDefault="001C1F6F" w:rsidP="001C1F6F">
    <w:pPr>
      <w:pStyle w:val="Nagwek1"/>
      <w:jc w:val="center"/>
    </w:pPr>
    <w:r>
      <w:rPr>
        <w:noProof/>
        <w:lang w:eastAsia="pl-PL"/>
      </w:rPr>
      <w:drawing>
        <wp:inline distT="0" distB="0" distL="0" distR="0">
          <wp:extent cx="5913755" cy="700405"/>
          <wp:effectExtent l="0" t="0" r="0" b="0"/>
          <wp:docPr id="17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700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>Zamówienie współfinansowane ze środków Europejskiego Funduszu Rozwoju Regionalnego w ramach Regionalnego Programu Operacyjnego Województwa Łódzkiego na lata 2014-2020 w ramach Działania VII.1.2 Technologie informacyjno-komunikacyjne.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664553C"/>
    <w:multiLevelType w:val="multilevel"/>
    <w:tmpl w:val="4094E2A4"/>
    <w:lvl w:ilvl="0">
      <w:start w:val="1"/>
      <w:numFmt w:val="lowerLetter"/>
      <w:lvlText w:val="%1)"/>
      <w:lvlJc w:val="left"/>
      <w:pPr>
        <w:ind w:left="783" w:hanging="360"/>
      </w:pPr>
    </w:lvl>
    <w:lvl w:ilvl="1">
      <w:start w:val="1"/>
      <w:numFmt w:val="decimal"/>
      <w:lvlText w:val="%2."/>
      <w:lvlJc w:val="left"/>
      <w:pPr>
        <w:ind w:left="1143" w:hanging="360"/>
      </w:pPr>
    </w:lvl>
    <w:lvl w:ilvl="2">
      <w:start w:val="1"/>
      <w:numFmt w:val="decimal"/>
      <w:lvlText w:val="%3."/>
      <w:lvlJc w:val="left"/>
      <w:pPr>
        <w:ind w:left="1503" w:hanging="360"/>
      </w:pPr>
    </w:lvl>
    <w:lvl w:ilvl="3">
      <w:start w:val="1"/>
      <w:numFmt w:val="decimal"/>
      <w:lvlText w:val="%4."/>
      <w:lvlJc w:val="left"/>
      <w:pPr>
        <w:ind w:left="1863" w:hanging="360"/>
      </w:pPr>
    </w:lvl>
    <w:lvl w:ilvl="4">
      <w:start w:val="1"/>
      <w:numFmt w:val="decimal"/>
      <w:lvlText w:val="%5."/>
      <w:lvlJc w:val="left"/>
      <w:pPr>
        <w:ind w:left="2223" w:hanging="360"/>
      </w:pPr>
    </w:lvl>
    <w:lvl w:ilvl="5">
      <w:start w:val="1"/>
      <w:numFmt w:val="decimal"/>
      <w:lvlText w:val="%6."/>
      <w:lvlJc w:val="left"/>
      <w:pPr>
        <w:ind w:left="2583" w:hanging="360"/>
      </w:pPr>
    </w:lvl>
    <w:lvl w:ilvl="6">
      <w:start w:val="1"/>
      <w:numFmt w:val="decimal"/>
      <w:lvlText w:val="%7."/>
      <w:lvlJc w:val="left"/>
      <w:pPr>
        <w:ind w:left="2943" w:hanging="360"/>
      </w:pPr>
    </w:lvl>
    <w:lvl w:ilvl="7">
      <w:start w:val="1"/>
      <w:numFmt w:val="decimal"/>
      <w:lvlText w:val="%8."/>
      <w:lvlJc w:val="left"/>
      <w:pPr>
        <w:ind w:left="3303" w:hanging="360"/>
      </w:pPr>
    </w:lvl>
    <w:lvl w:ilvl="8">
      <w:start w:val="1"/>
      <w:numFmt w:val="decimal"/>
      <w:lvlText w:val="%9."/>
      <w:lvlJc w:val="left"/>
      <w:pPr>
        <w:ind w:left="3663" w:hanging="360"/>
      </w:pPr>
    </w:lvl>
  </w:abstractNum>
  <w:abstractNum w:abstractNumId="2" w15:restartNumberingAfterBreak="0">
    <w:nsid w:val="148C79CE"/>
    <w:multiLevelType w:val="multilevel"/>
    <w:tmpl w:val="6CDCA4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1A561386"/>
    <w:multiLevelType w:val="multilevel"/>
    <w:tmpl w:val="67C2DD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" w15:restartNumberingAfterBreak="0">
    <w:nsid w:val="1AA0208A"/>
    <w:multiLevelType w:val="multilevel"/>
    <w:tmpl w:val="F5F69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F0E0DD6"/>
    <w:multiLevelType w:val="multilevel"/>
    <w:tmpl w:val="F1FAAC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F3912E6"/>
    <w:multiLevelType w:val="multilevel"/>
    <w:tmpl w:val="54CEEB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241F64EA"/>
    <w:multiLevelType w:val="multilevel"/>
    <w:tmpl w:val="47AAA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8225627"/>
    <w:multiLevelType w:val="multilevel"/>
    <w:tmpl w:val="962818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E5958F3"/>
    <w:multiLevelType w:val="hybridMultilevel"/>
    <w:tmpl w:val="3AC89994"/>
    <w:lvl w:ilvl="0" w:tplc="13F61B9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B7DAF"/>
    <w:multiLevelType w:val="multilevel"/>
    <w:tmpl w:val="02A6D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8C64C31"/>
    <w:multiLevelType w:val="multilevel"/>
    <w:tmpl w:val="64A482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39FE7429"/>
    <w:multiLevelType w:val="multilevel"/>
    <w:tmpl w:val="522E03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" w15:restartNumberingAfterBreak="0">
    <w:nsid w:val="3C2F045B"/>
    <w:multiLevelType w:val="multilevel"/>
    <w:tmpl w:val="97A2AD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" w15:restartNumberingAfterBreak="0">
    <w:nsid w:val="3C7065DA"/>
    <w:multiLevelType w:val="hybridMultilevel"/>
    <w:tmpl w:val="67CC8D08"/>
    <w:lvl w:ilvl="0" w:tplc="04150013">
      <w:start w:val="1"/>
      <w:numFmt w:val="upperRoman"/>
      <w:lvlText w:val="%1."/>
      <w:lvlJc w:val="righ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A5245"/>
    <w:multiLevelType w:val="multilevel"/>
    <w:tmpl w:val="DD660F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6" w15:restartNumberingAfterBreak="0">
    <w:nsid w:val="3FB07782"/>
    <w:multiLevelType w:val="multilevel"/>
    <w:tmpl w:val="2E0AC5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7" w15:restartNumberingAfterBreak="0">
    <w:nsid w:val="439154A6"/>
    <w:multiLevelType w:val="multilevel"/>
    <w:tmpl w:val="6FB60A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8" w15:restartNumberingAfterBreak="0">
    <w:nsid w:val="44681B8A"/>
    <w:multiLevelType w:val="multilevel"/>
    <w:tmpl w:val="6D364A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9" w15:restartNumberingAfterBreak="0">
    <w:nsid w:val="47292822"/>
    <w:multiLevelType w:val="multilevel"/>
    <w:tmpl w:val="91B2EF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0" w15:restartNumberingAfterBreak="0">
    <w:nsid w:val="487E5D1F"/>
    <w:multiLevelType w:val="multilevel"/>
    <w:tmpl w:val="518E1CC2"/>
    <w:lvl w:ilvl="0">
      <w:start w:val="1"/>
      <w:numFmt w:val="lowerLetter"/>
      <w:lvlText w:val="%1)"/>
      <w:lvlJc w:val="left"/>
      <w:pPr>
        <w:ind w:left="783" w:hanging="360"/>
      </w:pPr>
    </w:lvl>
    <w:lvl w:ilvl="1">
      <w:start w:val="1"/>
      <w:numFmt w:val="decimal"/>
      <w:lvlText w:val="%2."/>
      <w:lvlJc w:val="left"/>
      <w:pPr>
        <w:ind w:left="1143" w:hanging="360"/>
      </w:pPr>
    </w:lvl>
    <w:lvl w:ilvl="2">
      <w:start w:val="1"/>
      <w:numFmt w:val="decimal"/>
      <w:lvlText w:val="%3."/>
      <w:lvlJc w:val="left"/>
      <w:pPr>
        <w:ind w:left="1503" w:hanging="360"/>
      </w:pPr>
    </w:lvl>
    <w:lvl w:ilvl="3">
      <w:start w:val="1"/>
      <w:numFmt w:val="decimal"/>
      <w:lvlText w:val="%4."/>
      <w:lvlJc w:val="left"/>
      <w:pPr>
        <w:ind w:left="1863" w:hanging="360"/>
      </w:pPr>
    </w:lvl>
    <w:lvl w:ilvl="4">
      <w:start w:val="1"/>
      <w:numFmt w:val="decimal"/>
      <w:lvlText w:val="%5."/>
      <w:lvlJc w:val="left"/>
      <w:pPr>
        <w:ind w:left="2223" w:hanging="360"/>
      </w:pPr>
    </w:lvl>
    <w:lvl w:ilvl="5">
      <w:start w:val="1"/>
      <w:numFmt w:val="decimal"/>
      <w:lvlText w:val="%6."/>
      <w:lvlJc w:val="left"/>
      <w:pPr>
        <w:ind w:left="2583" w:hanging="360"/>
      </w:pPr>
    </w:lvl>
    <w:lvl w:ilvl="6">
      <w:start w:val="1"/>
      <w:numFmt w:val="decimal"/>
      <w:lvlText w:val="%7."/>
      <w:lvlJc w:val="left"/>
      <w:pPr>
        <w:ind w:left="2943" w:hanging="360"/>
      </w:pPr>
    </w:lvl>
    <w:lvl w:ilvl="7">
      <w:start w:val="1"/>
      <w:numFmt w:val="decimal"/>
      <w:lvlText w:val="%8."/>
      <w:lvlJc w:val="left"/>
      <w:pPr>
        <w:ind w:left="3303" w:hanging="360"/>
      </w:pPr>
    </w:lvl>
    <w:lvl w:ilvl="8">
      <w:start w:val="1"/>
      <w:numFmt w:val="decimal"/>
      <w:lvlText w:val="%9."/>
      <w:lvlJc w:val="left"/>
      <w:pPr>
        <w:ind w:left="3663" w:hanging="360"/>
      </w:pPr>
    </w:lvl>
  </w:abstractNum>
  <w:abstractNum w:abstractNumId="21" w15:restartNumberingAfterBreak="0">
    <w:nsid w:val="49F462B2"/>
    <w:multiLevelType w:val="multilevel"/>
    <w:tmpl w:val="35FEB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B845EA1"/>
    <w:multiLevelType w:val="multilevel"/>
    <w:tmpl w:val="3F7844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3" w15:restartNumberingAfterBreak="0">
    <w:nsid w:val="53802611"/>
    <w:multiLevelType w:val="multilevel"/>
    <w:tmpl w:val="1C6A69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4" w15:restartNumberingAfterBreak="0">
    <w:nsid w:val="55E028F4"/>
    <w:multiLevelType w:val="multilevel"/>
    <w:tmpl w:val="C8D655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5" w15:restartNumberingAfterBreak="0">
    <w:nsid w:val="599D2086"/>
    <w:multiLevelType w:val="multilevel"/>
    <w:tmpl w:val="DCF2A8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6" w15:restartNumberingAfterBreak="0">
    <w:nsid w:val="6121744E"/>
    <w:multiLevelType w:val="multilevel"/>
    <w:tmpl w:val="28D4C0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7" w15:restartNumberingAfterBreak="0">
    <w:nsid w:val="630158C4"/>
    <w:multiLevelType w:val="multilevel"/>
    <w:tmpl w:val="2B8C056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B2087"/>
    <w:multiLevelType w:val="multilevel"/>
    <w:tmpl w:val="22E64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16A3607"/>
    <w:multiLevelType w:val="multilevel"/>
    <w:tmpl w:val="C784C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1DE33F9"/>
    <w:multiLevelType w:val="multilevel"/>
    <w:tmpl w:val="4456F0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1" w15:restartNumberingAfterBreak="0">
    <w:nsid w:val="77F53748"/>
    <w:multiLevelType w:val="multilevel"/>
    <w:tmpl w:val="1AB4F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9D11C15"/>
    <w:multiLevelType w:val="multilevel"/>
    <w:tmpl w:val="F2EAAF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3" w15:restartNumberingAfterBreak="0">
    <w:nsid w:val="7C11727E"/>
    <w:multiLevelType w:val="multilevel"/>
    <w:tmpl w:val="30D26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23"/>
  </w:num>
  <w:num w:numId="3">
    <w:abstractNumId w:val="18"/>
  </w:num>
  <w:num w:numId="4">
    <w:abstractNumId w:val="7"/>
  </w:num>
  <w:num w:numId="5">
    <w:abstractNumId w:val="16"/>
  </w:num>
  <w:num w:numId="6">
    <w:abstractNumId w:val="21"/>
  </w:num>
  <w:num w:numId="7">
    <w:abstractNumId w:val="8"/>
  </w:num>
  <w:num w:numId="8">
    <w:abstractNumId w:val="25"/>
  </w:num>
  <w:num w:numId="9">
    <w:abstractNumId w:val="19"/>
  </w:num>
  <w:num w:numId="10">
    <w:abstractNumId w:val="10"/>
  </w:num>
  <w:num w:numId="11">
    <w:abstractNumId w:val="12"/>
  </w:num>
  <w:num w:numId="12">
    <w:abstractNumId w:val="32"/>
  </w:num>
  <w:num w:numId="13">
    <w:abstractNumId w:val="2"/>
  </w:num>
  <w:num w:numId="14">
    <w:abstractNumId w:val="31"/>
  </w:num>
  <w:num w:numId="15">
    <w:abstractNumId w:val="22"/>
  </w:num>
  <w:num w:numId="16">
    <w:abstractNumId w:val="1"/>
  </w:num>
  <w:num w:numId="17">
    <w:abstractNumId w:val="3"/>
  </w:num>
  <w:num w:numId="18">
    <w:abstractNumId w:val="5"/>
  </w:num>
  <w:num w:numId="19">
    <w:abstractNumId w:val="27"/>
  </w:num>
  <w:num w:numId="20">
    <w:abstractNumId w:val="11"/>
  </w:num>
  <w:num w:numId="21">
    <w:abstractNumId w:val="9"/>
  </w:num>
  <w:num w:numId="22">
    <w:abstractNumId w:val="14"/>
  </w:num>
  <w:num w:numId="23">
    <w:abstractNumId w:val="33"/>
  </w:num>
  <w:num w:numId="24">
    <w:abstractNumId w:val="15"/>
  </w:num>
  <w:num w:numId="25">
    <w:abstractNumId w:val="6"/>
  </w:num>
  <w:num w:numId="26">
    <w:abstractNumId w:val="30"/>
  </w:num>
  <w:num w:numId="27">
    <w:abstractNumId w:val="28"/>
  </w:num>
  <w:num w:numId="28">
    <w:abstractNumId w:val="26"/>
  </w:num>
  <w:num w:numId="29">
    <w:abstractNumId w:val="20"/>
  </w:num>
  <w:num w:numId="30">
    <w:abstractNumId w:val="24"/>
  </w:num>
  <w:num w:numId="31">
    <w:abstractNumId w:val="29"/>
  </w:num>
  <w:num w:numId="32">
    <w:abstractNumId w:val="13"/>
  </w:num>
  <w:num w:numId="33">
    <w:abstractNumId w:val="17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BA"/>
    <w:rsid w:val="001B3BC5"/>
    <w:rsid w:val="001C1F6F"/>
    <w:rsid w:val="004A1CB0"/>
    <w:rsid w:val="008C08F7"/>
    <w:rsid w:val="009342BA"/>
    <w:rsid w:val="00B756E7"/>
    <w:rsid w:val="00BC2BFA"/>
    <w:rsid w:val="00D9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E380FC-5263-49AB-A8BF-C74FEAED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812E5"/>
  </w:style>
  <w:style w:type="character" w:customStyle="1" w:styleId="StopkaZnak">
    <w:name w:val="Stopka Znak"/>
    <w:basedOn w:val="Domylnaczcionkaakapitu"/>
    <w:link w:val="Stopka"/>
    <w:uiPriority w:val="99"/>
    <w:qFormat/>
    <w:rsid w:val="000812E5"/>
  </w:style>
  <w:style w:type="character" w:customStyle="1" w:styleId="HeaderChar">
    <w:name w:val="Header Char"/>
    <w:basedOn w:val="Domylnaczcionkaakapitu"/>
    <w:link w:val="Nagwek1"/>
    <w:uiPriority w:val="99"/>
    <w:qFormat/>
    <w:rsid w:val="000812E5"/>
    <w:rPr>
      <w:sz w:val="24"/>
      <w:szCs w:val="24"/>
    </w:rPr>
  </w:style>
  <w:style w:type="character" w:customStyle="1" w:styleId="ListLabel1">
    <w:name w:val="ListLabel 1"/>
    <w:qFormat/>
    <w:rPr>
      <w:rFonts w:eastAsia="OpenSymbol" w:cs="OpenSymbol"/>
    </w:rPr>
  </w:style>
  <w:style w:type="character" w:customStyle="1" w:styleId="ListLabel2">
    <w:name w:val="ListLabel 2"/>
    <w:qFormat/>
    <w:rPr>
      <w:rFonts w:eastAsia="OpenSymbol" w:cs="OpenSymbol"/>
    </w:rPr>
  </w:style>
  <w:style w:type="character" w:customStyle="1" w:styleId="ListLabel3">
    <w:name w:val="ListLabel 3"/>
    <w:qFormat/>
    <w:rPr>
      <w:rFonts w:eastAsia="OpenSymbol" w:cs="OpenSymbol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706A63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1">
    <w:name w:val="Nagłówek1"/>
    <w:basedOn w:val="Normalny"/>
    <w:link w:val="HeaderChar"/>
    <w:uiPriority w:val="99"/>
    <w:rsid w:val="000812E5"/>
    <w:pPr>
      <w:tabs>
        <w:tab w:val="center" w:pos="4536"/>
        <w:tab w:val="right" w:pos="9072"/>
      </w:tabs>
      <w:suppressAutoHyphens/>
      <w:spacing w:after="200" w:line="276" w:lineRule="auto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812E5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756E7"/>
    <w:pPr>
      <w:ind w:left="720"/>
      <w:contextualSpacing/>
    </w:pPr>
  </w:style>
  <w:style w:type="paragraph" w:customStyle="1" w:styleId="ListParagraph">
    <w:name w:val="List Paragraph"/>
    <w:basedOn w:val="Normalny"/>
    <w:rsid w:val="00BC2BFA"/>
    <w:pPr>
      <w:suppressAutoHyphens/>
      <w:spacing w:after="0" w:line="100" w:lineRule="atLeast"/>
      <w:ind w:left="720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1668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dc:description/>
  <cp:lastModifiedBy>Robert Kazmierczak</cp:lastModifiedBy>
  <cp:revision>5</cp:revision>
  <dcterms:created xsi:type="dcterms:W3CDTF">2019-02-06T15:54:00Z</dcterms:created>
  <dcterms:modified xsi:type="dcterms:W3CDTF">2019-02-06T16:49:00Z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